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lang w:eastAsia="zh-CN"/>
        </w:rPr>
        <w:t>金华市</w:t>
      </w:r>
      <w:r>
        <w:rPr>
          <w:rFonts w:hint="eastAsia" w:eastAsia="文鼎CS大黑"/>
          <w:color w:val="000000"/>
          <w:sz w:val="36"/>
        </w:rPr>
        <w:t>工程建设信息</w:t>
      </w:r>
    </w:p>
    <w:p>
      <w:pPr>
        <w:ind w:firstLine="9800" w:firstLineChars="4900"/>
        <w:outlineLvl w:val="0"/>
        <w:rPr>
          <w:rFonts w:eastAsia="文鼎CS大黑"/>
          <w:color w:val="000000"/>
          <w:sz w:val="36"/>
        </w:rPr>
      </w:pPr>
      <w:r>
        <w:rPr>
          <w:rFonts w:hint="eastAsia" w:ascii="宋体" w:hAnsi="宋体"/>
          <w:color w:val="000000"/>
          <w:sz w:val="20"/>
          <w:lang w:val="en-US" w:eastAsia="zh-CN"/>
        </w:rPr>
        <w:t>11</w:t>
      </w:r>
      <w:r>
        <w:rPr>
          <w:rFonts w:hint="eastAsia" w:ascii="宋体" w:hAnsi="宋体"/>
          <w:color w:val="000000"/>
          <w:sz w:val="20"/>
        </w:rPr>
        <w:t>月</w:t>
      </w:r>
      <w:r>
        <w:rPr>
          <w:rFonts w:hint="eastAsia" w:ascii="宋体" w:hAnsi="宋体"/>
          <w:color w:val="000000"/>
          <w:sz w:val="20"/>
          <w:lang w:val="en-US" w:eastAsia="zh-CN"/>
        </w:rPr>
        <w:t>20</w:t>
      </w:r>
      <w:bookmarkStart w:id="2" w:name="_GoBack"/>
      <w:bookmarkEnd w:id="2"/>
      <w:r>
        <w:rPr>
          <w:rFonts w:hint="eastAsia" w:ascii="宋体" w:hAnsi="宋体"/>
          <w:color w:val="000000"/>
          <w:sz w:val="20"/>
        </w:rPr>
        <w:t>日-</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06</w:t>
      </w:r>
      <w:r>
        <w:rPr>
          <w:rFonts w:hint="eastAsia" w:ascii="宋体" w:hAnsi="宋体"/>
          <w:color w:val="000000"/>
          <w:sz w:val="20"/>
        </w:rPr>
        <w:t>日</w:t>
      </w:r>
    </w:p>
    <w:tbl>
      <w:tblPr>
        <w:tblStyle w:val="15"/>
        <w:tblpPr w:leftFromText="180" w:rightFromText="180" w:vertAnchor="text" w:horzAnchor="page" w:tblpX="431" w:tblpY="408"/>
        <w:tblOverlap w:val="never"/>
        <w:tblW w:w="16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spacing w:line="60" w:lineRule="auto"/>
              <w:rPr>
                <w:rFonts w:ascii="宋体" w:hAnsi="宋体" w:cs="宋体"/>
                <w:color w:val="333333"/>
                <w:sz w:val="18"/>
                <w:szCs w:val="18"/>
              </w:rPr>
            </w:pPr>
            <w:r>
              <w:rPr>
                <w:rFonts w:hint="eastAsia" w:ascii="宋体" w:hAnsi="宋体" w:cs="宋体"/>
                <w:b/>
                <w:color w:val="000000"/>
                <w:sz w:val="22"/>
                <w:szCs w:val="22"/>
                <w:lang w:eastAsia="zh-CN"/>
              </w:rPr>
              <w:t>金华</w:t>
            </w:r>
            <w:r>
              <w:rPr>
                <w:rFonts w:hint="eastAsia" w:ascii="宋体" w:hAnsi="宋体" w:cs="宋体"/>
                <w:b/>
                <w:color w:val="000000"/>
                <w:sz w:val="22"/>
                <w:szCs w:val="22"/>
              </w:rPr>
              <w:t>:</w:t>
            </w:r>
          </w:p>
        </w:tc>
        <w:tc>
          <w:tcPr>
            <w:tcW w:w="2540"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1391"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959"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848"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宋体" w:hAnsi="宋体" w:cs="宋体"/>
                <w:color w:val="333333"/>
                <w:sz w:val="18"/>
                <w:szCs w:val="18"/>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1429" w:type="dxa"/>
            <w:tcBorders>
              <w:top w:val="single" w:color="auto" w:sz="6" w:space="0"/>
              <w:left w:val="single" w:color="auto" w:sz="6" w:space="0"/>
              <w:bottom w:val="single" w:color="auto" w:sz="6" w:space="0"/>
              <w:right w:val="single" w:color="auto" w:sz="6" w:space="0"/>
            </w:tcBorders>
            <w:vAlign w:val="center"/>
          </w:tcPr>
          <w:p>
            <w:pPr>
              <w:rPr>
                <w:rFonts w:ascii="Tahoma" w:hAnsi="Tahoma" w:cs="Tahoma"/>
                <w:color w:val="333333"/>
                <w:sz w:val="18"/>
                <w:szCs w:val="18"/>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Tahoma" w:hAnsi="Tahoma" w:cs="Tahoma"/>
                <w:color w:val="333333"/>
                <w:sz w:val="18"/>
                <w:szCs w:val="18"/>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rFonts w:ascii="Tahoma" w:hAnsi="Tahoma" w:cs="Tahoma"/>
                <w:color w:val="333333"/>
                <w:sz w:val="18"/>
                <w:szCs w:val="18"/>
              </w:rPr>
            </w:pPr>
          </w:p>
        </w:tc>
        <w:tc>
          <w:tcPr>
            <w:tcW w:w="2063" w:type="dxa"/>
            <w:tcBorders>
              <w:top w:val="single" w:color="auto" w:sz="6" w:space="0"/>
              <w:left w:val="single" w:color="auto" w:sz="6" w:space="0"/>
              <w:bottom w:val="single" w:color="auto" w:sz="6" w:space="0"/>
              <w:right w:val="single" w:color="auto" w:sz="6" w:space="0"/>
            </w:tcBorders>
            <w:vAlign w:val="center"/>
          </w:tcPr>
          <w:p>
            <w:pPr>
              <w:spacing w:line="60" w:lineRule="auto"/>
              <w:jc w:val="center"/>
              <w:rPr>
                <w:rFonts w:ascii="Tahoma" w:hAnsi="Tahoma" w:cs="Tahoma"/>
                <w:color w:val="333333"/>
                <w:sz w:val="18"/>
                <w:szCs w:val="18"/>
              </w:rPr>
            </w:pPr>
          </w:p>
        </w:tc>
        <w:tc>
          <w:tcPr>
            <w:tcW w:w="1375" w:type="dxa"/>
            <w:tcBorders>
              <w:top w:val="single" w:color="auto" w:sz="6" w:space="0"/>
              <w:left w:val="single" w:color="auto" w:sz="6" w:space="0"/>
              <w:bottom w:val="single" w:color="auto" w:sz="6" w:space="0"/>
              <w:right w:val="single" w:color="auto" w:sz="12" w:space="0"/>
            </w:tcBorders>
            <w:vAlign w:val="center"/>
          </w:tcPr>
          <w:p>
            <w:pPr>
              <w:spacing w:line="60" w:lineRule="auto"/>
              <w:jc w:val="center"/>
              <w:rPr>
                <w:rFonts w:ascii="Tahoma" w:hAnsi="Tahoma" w:cs="Tahoma"/>
                <w:color w:val="333333"/>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bookmarkStart w:id="0" w:name="OLE_LINK14" w:colFirst="0" w:colLast="10"/>
            <w:r>
              <w:rPr>
                <w:rFonts w:hint="eastAsia" w:ascii="微软雅黑" w:hAnsi="微软雅黑" w:eastAsia="微软雅黑" w:cs="微软雅黑"/>
                <w:sz w:val="18"/>
                <w:szCs w:val="18"/>
              </w:rPr>
              <w:t xml:space="preserve">金华市中心医院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金华市中心医院病房医技楼、门诊综合楼低压配电室设备及安装工程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明月街351号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217.3383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2017年1月4日至2017年1月13日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电力工程施工总承包三级及以上或输变电工程专业承包三级及以上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季先生</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0579-8255383</w:t>
            </w:r>
            <w:r>
              <w:rPr>
                <w:rFonts w:hint="eastAsia" w:ascii="微软雅黑" w:hAnsi="微软雅黑" w:eastAsia="微软雅黑" w:cs="微软雅黑"/>
                <w:sz w:val="18"/>
                <w:szCs w:val="18"/>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金华市市政管理处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环城东路铁路桥、环城东路下穿人民东路立交桥装饰工程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金华市环城东路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702.03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2017年01月03日至 2017年01月13日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仇子寅</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13646695245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金华市多湖中央商务区建设投资有限公司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金华市多湖中央商务区综合管廊工程（二期）—复兴街南延工程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金华市复兴街（丹溪路至环城南路）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6943.32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2016年12月21日至 2017年01月10日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市政公用工程专业一级资格的建造师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具有市政公用工程施工总承包一级及以上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黄跃兵0579-89133591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金华广播电视大学</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金华广播电视大学（浙江商贸学校）扩建二期工程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金华市清照路18</w:t>
            </w:r>
            <w:r>
              <w:rPr>
                <w:rFonts w:hint="eastAsia" w:ascii="微软雅黑" w:hAnsi="微软雅黑" w:eastAsia="微软雅黑" w:cs="微软雅黑"/>
                <w:sz w:val="18"/>
                <w:szCs w:val="18"/>
                <w:lang w:eastAsia="zh-CN"/>
              </w:rPr>
              <w:t>号</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36096.38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15904.85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2016年12月7 日至2016年12月26 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具有建筑工程专业一级资格的建造师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汪老师</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15957963818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金华智科信息经济产业园开发有限公司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金华信息经济产业园（一期）项目Ⅰ标段（1#-3#楼）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李渔路以南，婺州街以东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125522.59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22000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2016年12月5日 至2016年12月27日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建筑工程专业一级资格的建造师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钱先生、朱先生13819997266 13506587781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bookmarkStart w:id="1" w:name="_Hlk455585060"/>
            <w:r>
              <w:rPr>
                <w:rFonts w:hint="eastAsia" w:ascii="微软雅黑" w:hAnsi="微软雅黑" w:eastAsia="微软雅黑" w:cs="微软雅黑"/>
                <w:sz w:val="18"/>
                <w:szCs w:val="18"/>
              </w:rPr>
              <w:t xml:space="preserve">国网浙江省电力公司金华供电公司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国网浙江金华供电公司开发区供电所工程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婺城区白龙桥镇临江大街以南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848.42</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320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195</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2016年11月30日至 2016年12月21日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董明睿13750983106</w:t>
            </w:r>
          </w:p>
        </w:tc>
      </w:tr>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金华智科信息经济产业园开发有限公司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金华信息经济产业园（一期）项目II标段（4#-5#楼）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李渔路以南，永康街以西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123673.68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20000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810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2016年12月5日至2016年12月28日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建筑工程专业一级资格的建造师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钱先生、朱先生 13819997266</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 xml:space="preserve">13506587781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浙江时通电气制造有限公司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环保节能型电力设备生产基地一期项目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婺城新城区临江工业区西溪街以东</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3957.35</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2050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2016年11月28日 至2016年3月1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建筑工程专业二级及以上资格的建造师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房屋建筑工程施工总承包三级及以上资质并具有钢结构工程专业承包三级及以上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郑文林0579-81234210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金华市多湖科技文化发展有限公司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金华科技文化广场项目幕墙设计</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金华市宾虹东路北侧，燕尾州公园东侧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5万</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 12月 29日至2017年 1月 4日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具备一级注册结构工程师或注册机械工程师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工程设计综合甲级资质或建筑行业（建筑工程）甲级（设计范围应包含建筑幕墙工程设计）或建筑幕墙专项工程设计甲级资质独立法人</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黄刚13566763177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国网浙江省电力公司金华供电公司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国网金华供电公司曹宅供电所生产用房新建项目（一期）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金东区曹宅镇镇南工业园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1160.28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320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195</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2016年11月30日至 2016年12月21日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董明睿13750983106</w:t>
            </w:r>
          </w:p>
          <w:p>
            <w:pPr>
              <w:rPr>
                <w:rFonts w:hint="eastAsia" w:ascii="微软雅黑" w:hAnsi="微软雅黑" w:eastAsia="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金华市公安消防支队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金华市消防支队训练基地模拟训练设施建设工程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金华经济技术开发区金西区块经发街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13276.29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2148.72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2016年11月22日至 2016年12月14日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建筑工程专业二级及以上资格的建造师 </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具有房屋建筑工程施工总承包贰级及以上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方旭振13566776878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金华市特殊教育中心建设领导小组办公室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金华市特殊教育中心新建教学功能用房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金华市玉壶街以东、朝真路以南、冰壶路以北地块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883.56 </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189.57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2016年11月22日至 2016年11月30日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建筑工程二级及以上的注册建造师资格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具有房屋建筑施工总承包叁级及以上资质 </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叶逸群13905792629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金华市中心医院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金华市中心医院病房大楼 （西 19 楼） 装修改造项目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省金华市明月街 351 号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20088.6</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4852.86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2016年11月21日至 2016年12月12日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建筑工程专业一级注册建造师资格并机电工程专业二级及以上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建筑装修装饰工程专业承包一级(或建筑装饰装修工程设计与施工一级资质资质)且消防设施工程专业承包二级及以上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郑友宏0579-82558550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浙江婺剧艺术研究院（浙江婺剧团）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中国婺剧院小剧场提升改造装修工程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中国婺剧院燕尾洲路208号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165.7414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2016年11月18日至 2016年11月28日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建筑装修装饰工程专业承包二级及以上或建筑装饰装修工程设计与施工三级及以上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朱主任13566997511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金华市中医医院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金华市中医医院门诊楼修缮工程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金华市双溪西路439号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334.65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2016年11月16日至 2016年11月21日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金工13819999189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金华银行股份有限公司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金华银行财富大厦室外泛光照明工程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金华市双龙南街以西、丹溪路以北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92909.7</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465.36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2016年11月16日至2016年12月 06日 </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市政公用工程或机电工程专业的二级及以上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王国强13857983797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金华市中心医院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金华市中心医院新增门厅-幕墙工程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金华市明月街351号</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149.8398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2016年11月11日至2016年11月26日 </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具有建筑工程专业二级资格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具有建筑幕墙工程设计与施工二级资质或建筑幕墙工程专业承包二级资质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王先生0579-82552835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金华市婺州古城文化旅游投资发展有限公司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金华市东市街文化创意园工程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金华市东市街以东、将军路以北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6529.18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1426.25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2016年11月08日至 2016年11月29日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建筑工程专业二级及以上资格的建造师 </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钟贤娟89133915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金华市城建发展控股有限公司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高山头古城旅游开发项目建筑外立面亮化工程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金华市区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500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2016年11月08日至 2016年11月15日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市政公用工程或机电工程专业的二级及以上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具有城市及道路照明工程专业承包三级及以上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周伟强 0579-82389782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金华市中心血站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金华市公卫二期中心血站业务楼建设项目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金瓯路北侧、纵四路东侧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10689.9 </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3454.79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2016年11月02日至 2016年11月23日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李大龙0579-83178789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金华市城市建设开发中心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三旅战备通道及附属工程-市政工程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金华市区江北罗店区块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477.07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2016年11月01日至 2016年11月28日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二级及以上市政公用工程专业建造师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刘伟0579-82388302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金华市中心医院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金华市中心医院病房医技楼、门诊综合楼改造工程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明月街351号</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25.5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2016年10月26日至2016年11月07日 </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具有独立法人资格且有良好履约能力及售后服务体系</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王先生0579-82552833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金华市多湖中央商务区建设投资有限公司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金华市多湖中央商务区城中村改造安置项目（三期）B地块</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金华市李渔路南侧，东市街东侧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275568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75393.27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2016年 10月21日至2016年 11月16日 </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建筑工程专业一级资格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建筑工程专业一级资格</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黄跃兵0579-89133820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金华市多湖科技文化发展有限公司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金华科技文化广场项目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金华市宾虹东路北侧，燕尾州公园东侧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52797.94</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25000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2016年10月21日至 2016年11月15日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建筑工程专业一级资格的建造师注册资格并工程系列专业高级及以上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具有建筑工程施工总承包一级及以上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黄刚13566763177</w:t>
            </w:r>
          </w:p>
        </w:tc>
      </w:tr>
      <w:bookmarkEnd w:id="0"/>
    </w:tbl>
    <w:p/>
    <w:sectPr>
      <w:pgSz w:w="16838" w:h="11906" w:orient="landscape"/>
      <w:pgMar w:top="540" w:right="478" w:bottom="446" w:left="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42104"/>
    <w:rsid w:val="3CCD7C39"/>
    <w:rsid w:val="60467851"/>
    <w:rsid w:val="72D421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style>
  <w:style w:type="character" w:styleId="4">
    <w:name w:val="FollowedHyperlink"/>
    <w:basedOn w:val="2"/>
    <w:uiPriority w:val="0"/>
    <w:rPr>
      <w:color w:val="333333"/>
      <w:u w:val="none"/>
    </w:rPr>
  </w:style>
  <w:style w:type="character" w:styleId="5">
    <w:name w:val="Emphasis"/>
    <w:basedOn w:val="2"/>
    <w:qFormat/>
    <w:uiPriority w:val="0"/>
  </w:style>
  <w:style w:type="character" w:styleId="6">
    <w:name w:val="HTML Definition"/>
    <w:basedOn w:val="2"/>
    <w:qFormat/>
    <w:uiPriority w:val="0"/>
  </w:style>
  <w:style w:type="character" w:styleId="7">
    <w:name w:val="HTML Typewriter"/>
    <w:basedOn w:val="2"/>
    <w:qFormat/>
    <w:uiPriority w:val="0"/>
    <w:rPr>
      <w:rFonts w:ascii="monospace" w:hAnsi="monospace" w:eastAsia="monospace" w:cs="monospace"/>
      <w:sz w:val="20"/>
    </w:rPr>
  </w:style>
  <w:style w:type="character" w:styleId="8">
    <w:name w:val="HTML Acronym"/>
    <w:basedOn w:val="2"/>
    <w:qFormat/>
    <w:uiPriority w:val="0"/>
  </w:style>
  <w:style w:type="character" w:styleId="9">
    <w:name w:val="HTML Variable"/>
    <w:basedOn w:val="2"/>
    <w:qFormat/>
    <w:uiPriority w:val="0"/>
  </w:style>
  <w:style w:type="character" w:styleId="10">
    <w:name w:val="Hyperlink"/>
    <w:basedOn w:val="2"/>
    <w:uiPriority w:val="0"/>
    <w:rPr>
      <w:color w:val="333333"/>
      <w:u w:val="none"/>
    </w:rPr>
  </w:style>
  <w:style w:type="character" w:styleId="11">
    <w:name w:val="HTML Code"/>
    <w:basedOn w:val="2"/>
    <w:qFormat/>
    <w:uiPriority w:val="0"/>
    <w:rPr>
      <w:rFonts w:hint="default" w:ascii="monospace" w:hAnsi="monospace" w:eastAsia="monospace" w:cs="monospace"/>
      <w:sz w:val="20"/>
    </w:rPr>
  </w:style>
  <w:style w:type="character" w:styleId="12">
    <w:name w:val="HTML Cite"/>
    <w:basedOn w:val="2"/>
    <w:qFormat/>
    <w:uiPriority w:val="0"/>
  </w:style>
  <w:style w:type="character" w:styleId="13">
    <w:name w:val="HTML Keyboard"/>
    <w:basedOn w:val="2"/>
    <w:qFormat/>
    <w:uiPriority w:val="0"/>
    <w:rPr>
      <w:rFonts w:hint="default" w:ascii="monospace" w:hAnsi="monospace" w:eastAsia="monospace" w:cs="monospace"/>
      <w:sz w:val="20"/>
    </w:rPr>
  </w:style>
  <w:style w:type="character" w:styleId="14">
    <w:name w:val="HTML Sample"/>
    <w:basedOn w:val="2"/>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2017-01-09T06:06:00Z</dcterms:created>
  <dc:creator>apple</dc:creator>
  <cp:lastModifiedBy>apple</cp:lastModifiedBy>
  <dcterms:modified xsi:type="dcterms:W3CDTF">2017-01-11T06:16:00Z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