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firstLine="640" w:firstLineChars="200"/>
        <w:rPr>
          <w:rFonts w:ascii="仿宋_GB2312" w:eastAsia="仿宋_GB2312"/>
          <w:color w:val="000000"/>
          <w:spacing w:val="-8"/>
          <w:sz w:val="32"/>
          <w:szCs w:val="32"/>
        </w:rPr>
      </w:pPr>
      <w:bookmarkStart w:id="1" w:name="_GoBack"/>
      <w:bookmarkEnd w:id="1"/>
      <w:r>
        <w:rPr>
          <w:rFonts w:hint="eastAsia" w:ascii="仿宋_GB2312" w:eastAsia="仿宋_GB2312"/>
          <w:color w:val="000000"/>
          <w:sz w:val="32"/>
          <w:szCs w:val="32"/>
        </w:rPr>
        <w:t>附表：</w:t>
      </w:r>
      <w:r>
        <w:rPr>
          <w:rFonts w:hint="eastAsia" w:ascii="仿宋_GB2312" w:eastAsia="仿宋_GB2312"/>
          <w:color w:val="000000"/>
          <w:spacing w:val="-8"/>
          <w:sz w:val="32"/>
          <w:szCs w:val="32"/>
        </w:rPr>
        <w:t>浙江省绿色建筑三年行动计划（2015-2017）重点工作</w:t>
      </w:r>
    </w:p>
    <w:tbl>
      <w:tblPr>
        <w:tblStyle w:val="4"/>
        <w:tblW w:w="8946" w:type="dxa"/>
        <w:tblInd w:w="93" w:type="dxa"/>
        <w:tblLayout w:type="fixed"/>
        <w:tblCellMar>
          <w:top w:w="0" w:type="dxa"/>
          <w:left w:w="108" w:type="dxa"/>
          <w:bottom w:w="0" w:type="dxa"/>
          <w:right w:w="108" w:type="dxa"/>
        </w:tblCellMar>
      </w:tblPr>
      <w:tblGrid>
        <w:gridCol w:w="724"/>
        <w:gridCol w:w="1559"/>
        <w:gridCol w:w="5245"/>
        <w:gridCol w:w="1418"/>
      </w:tblGrid>
      <w:tr>
        <w:tblPrEx>
          <w:tblLayout w:type="fixed"/>
          <w:tblCellMar>
            <w:top w:w="0" w:type="dxa"/>
            <w:left w:w="108" w:type="dxa"/>
            <w:bottom w:w="0" w:type="dxa"/>
            <w:right w:w="108" w:type="dxa"/>
          </w:tblCellMar>
        </w:tblPrEx>
        <w:trPr>
          <w:trHeight w:val="499" w:hRule="atLeast"/>
        </w:trPr>
        <w:tc>
          <w:tcPr>
            <w:tcW w:w="8946" w:type="dxa"/>
            <w:gridSpan w:val="4"/>
            <w:tcBorders>
              <w:top w:val="nil"/>
              <w:left w:val="nil"/>
              <w:bottom w:val="single" w:color="auto" w:sz="4" w:space="0"/>
              <w:right w:val="nil"/>
            </w:tcBorders>
            <w:shd w:val="clear" w:color="auto" w:fill="auto"/>
            <w:vAlign w:val="center"/>
          </w:tcPr>
          <w:p>
            <w:pPr>
              <w:widowControl/>
              <w:jc w:val="left"/>
              <w:rPr>
                <w:rFonts w:ascii="黑体" w:hAnsi="黑体" w:eastAsia="黑体" w:cs="宋体"/>
                <w:bCs/>
                <w:kern w:val="0"/>
                <w:sz w:val="32"/>
                <w:szCs w:val="32"/>
              </w:rPr>
            </w:pPr>
            <w:bookmarkStart w:id="0" w:name="RANGE!A1:D62"/>
            <w:r>
              <w:rPr>
                <w:rFonts w:hint="eastAsia" w:ascii="黑体" w:hAnsi="黑体" w:eastAsia="黑体" w:cs="宋体"/>
                <w:bCs/>
                <w:kern w:val="0"/>
                <w:sz w:val="32"/>
                <w:szCs w:val="32"/>
              </w:rPr>
              <w:t>附表</w:t>
            </w:r>
          </w:p>
          <w:p>
            <w:pPr>
              <w:widowControl/>
              <w:jc w:val="center"/>
              <w:rPr>
                <w:rFonts w:cs="宋体" w:asciiTheme="majorEastAsia" w:hAnsiTheme="majorEastAsia" w:eastAsiaTheme="majorEastAsia"/>
                <w:b/>
                <w:bCs/>
                <w:kern w:val="0"/>
                <w:sz w:val="32"/>
                <w:szCs w:val="32"/>
              </w:rPr>
            </w:pPr>
            <w:r>
              <w:rPr>
                <w:rFonts w:hint="eastAsia" w:cs="宋体" w:asciiTheme="majorEastAsia" w:hAnsiTheme="majorEastAsia" w:eastAsiaTheme="majorEastAsia"/>
                <w:b/>
                <w:bCs/>
                <w:kern w:val="0"/>
                <w:sz w:val="32"/>
                <w:szCs w:val="32"/>
              </w:rPr>
              <w:t>浙江省绿色建筑发展三年行动计划（2015-2017）重点工作</w:t>
            </w:r>
            <w:bookmarkEnd w:id="0"/>
          </w:p>
        </w:tc>
      </w:tr>
      <w:tr>
        <w:tblPrEx>
          <w:tblLayout w:type="fixed"/>
          <w:tblCellMar>
            <w:top w:w="0" w:type="dxa"/>
            <w:left w:w="108" w:type="dxa"/>
            <w:bottom w:w="0" w:type="dxa"/>
            <w:right w:w="108" w:type="dxa"/>
          </w:tblCellMar>
        </w:tblPrEx>
        <w:trPr>
          <w:trHeight w:val="586"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序号</w:t>
            </w:r>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事项</w:t>
            </w:r>
          </w:p>
        </w:tc>
        <w:tc>
          <w:tcPr>
            <w:tcW w:w="52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主要内容</w:t>
            </w:r>
          </w:p>
        </w:tc>
        <w:tc>
          <w:tcPr>
            <w:tcW w:w="1418" w:type="dxa"/>
            <w:tcBorders>
              <w:top w:val="nil"/>
              <w:left w:val="nil"/>
              <w:right w:val="single" w:color="auto" w:sz="4" w:space="0"/>
            </w:tcBorders>
            <w:shd w:val="clear" w:color="auto" w:fill="auto"/>
            <w:vAlign w:val="center"/>
          </w:tcPr>
          <w:p>
            <w:pPr>
              <w:widowControl/>
              <w:jc w:val="center"/>
              <w:rPr>
                <w:rFonts w:ascii="黑体" w:hAnsi="黑体" w:eastAsia="黑体" w:cs="宋体"/>
                <w:b/>
                <w:bCs/>
                <w:kern w:val="0"/>
                <w:sz w:val="22"/>
                <w:szCs w:val="22"/>
              </w:rPr>
            </w:pPr>
            <w:r>
              <w:rPr>
                <w:rFonts w:hint="eastAsia" w:ascii="黑体" w:hAnsi="黑体" w:eastAsia="黑体" w:cs="宋体"/>
                <w:b/>
                <w:bCs/>
                <w:kern w:val="0"/>
                <w:sz w:val="22"/>
                <w:szCs w:val="22"/>
              </w:rPr>
              <w:t>完成时间</w:t>
            </w:r>
          </w:p>
          <w:p>
            <w:pPr>
              <w:jc w:val="center"/>
              <w:rPr>
                <w:rFonts w:ascii="黑体" w:hAnsi="黑体" w:eastAsia="黑体" w:cs="宋体"/>
                <w:b/>
                <w:bCs/>
                <w:kern w:val="0"/>
                <w:sz w:val="22"/>
                <w:szCs w:val="22"/>
              </w:rPr>
            </w:pPr>
            <w:r>
              <w:rPr>
                <w:rFonts w:hint="eastAsia" w:ascii="仿宋_GB2312" w:hAnsi="宋体" w:eastAsia="仿宋_GB2312" w:cs="宋体"/>
                <w:kern w:val="0"/>
                <w:sz w:val="22"/>
                <w:szCs w:val="22"/>
              </w:rPr>
              <w:t>（按年度）</w:t>
            </w:r>
          </w:p>
        </w:tc>
      </w:tr>
      <w:tr>
        <w:tblPrEx>
          <w:tblLayout w:type="fixed"/>
          <w:tblCellMar>
            <w:top w:w="0" w:type="dxa"/>
            <w:left w:w="108" w:type="dxa"/>
            <w:bottom w:w="0" w:type="dxa"/>
            <w:right w:w="108" w:type="dxa"/>
          </w:tblCellMar>
        </w:tblPrEx>
        <w:trPr>
          <w:trHeight w:val="499"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一、全面推进新建建筑绿色化</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完善绿色建筑标准体系</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制定浙江省绿色建筑条例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制订既有公共建筑节能改造技术规程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制订民用建筑项目节能评估技术规程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制订民用建筑项目节水评估技术导则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修订民用建筑绿色设计标准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 xml:space="preserve"> 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6</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修订浙江省公共建筑节能设计标准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7</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修订绿色建筑评价标准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8</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严格落实</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全过程监管</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spacing w:val="-6"/>
                <w:kern w:val="0"/>
                <w:sz w:val="22"/>
                <w:szCs w:val="22"/>
              </w:rPr>
              <w:t>民用建筑节能评估和审查增加绿色建筑相关内容审核</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9</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施工图审查增加对绿色建筑技术指标审查</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383"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10</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对达不到规定要求的绿色建筑项目，不予通过节能评</w:t>
            </w:r>
            <w:r>
              <w:rPr>
                <w:rFonts w:hint="eastAsia" w:cs="宋体" w:asciiTheme="minorEastAsia" w:hAnsiTheme="minorEastAsia" w:eastAsiaTheme="minorEastAsia"/>
                <w:spacing w:val="-6"/>
                <w:kern w:val="0"/>
                <w:sz w:val="22"/>
                <w:szCs w:val="22"/>
              </w:rPr>
              <w:t>估和审查及施工图审查，不予核发建设工程施工许可证。</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11</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竣工验收中增加有关绿色建筑内容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12</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提高农房</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绿色水平</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编制农民个人绿色建房推荐图集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13</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开展绿色农房试点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二、大力推进新型建筑工业化</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14</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完善新型建筑工业化技术和标准</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制订高层钢结构住宅技术规程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15</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制订叠合板式混凝土剪力墙结构设计规范</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16</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制订叠合板式混凝土剪力墙结构施工质量验收规范</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17</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研究制订工业化建筑评价导则</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18</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制订预制装配式钢结构集成建筑技术规程</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64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19</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spacing w:line="280" w:lineRule="exact"/>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编制预制钢筋混凝土楼梯、墙板、卫浴间、厨房设计图集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64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加大项目推动和基地建设</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具备条件的政府投资性项目率先示范应用新型建筑工业化</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645"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21</w:t>
            </w: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保障性住房每年至少要有30%采用新型建筑工业化方式建设</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2015年-2017年</w:t>
            </w:r>
          </w:p>
        </w:tc>
      </w:tr>
      <w:tr>
        <w:tblPrEx>
          <w:tblLayout w:type="fixed"/>
          <w:tblCellMar>
            <w:top w:w="0" w:type="dxa"/>
            <w:left w:w="108" w:type="dxa"/>
            <w:bottom w:w="0" w:type="dxa"/>
            <w:right w:w="108" w:type="dxa"/>
          </w:tblCellMar>
        </w:tblPrEx>
        <w:trPr>
          <w:trHeight w:val="516"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22</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大力推进</w:t>
            </w:r>
            <w:r>
              <w:rPr>
                <w:rFonts w:hint="eastAsia" w:cs="宋体" w:asciiTheme="minorEastAsia" w:hAnsiTheme="minorEastAsia" w:eastAsiaTheme="minorEastAsia"/>
                <w:kern w:val="0"/>
                <w:sz w:val="22"/>
                <w:szCs w:val="22"/>
              </w:rPr>
              <w:br w:type="page"/>
            </w:r>
            <w:r>
              <w:rPr>
                <w:rFonts w:hint="eastAsia" w:cs="宋体" w:asciiTheme="minorEastAsia" w:hAnsiTheme="minorEastAsia" w:eastAsiaTheme="minorEastAsia"/>
                <w:kern w:val="0"/>
                <w:sz w:val="22"/>
                <w:szCs w:val="22"/>
              </w:rPr>
              <w:t>绿色施工</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spacing w:val="-6"/>
                <w:kern w:val="0"/>
                <w:sz w:val="22"/>
                <w:szCs w:val="22"/>
              </w:rPr>
              <w:t>各市形成与本区域相适应的新型建筑工业化生产能力</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75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23</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创建全省绿色施工示范工程，2015年，特级企业达到95%；2016年，一级企业达到95%；2017年，二级企业达到95%</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39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24</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严格监督管理</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制定装配式建筑施工质量监管要点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3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25</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制定装配式建筑工程验收工作要点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cs="宋体" w:asciiTheme="majorEastAsia" w:hAnsiTheme="majorEastAsia" w:eastAsiaTheme="majorEastAsia"/>
                <w:b/>
                <w:bCs/>
                <w:kern w:val="0"/>
                <w:sz w:val="22"/>
                <w:szCs w:val="22"/>
              </w:rPr>
            </w:pPr>
            <w:r>
              <w:rPr>
                <w:rFonts w:hint="eastAsia" w:cs="宋体" w:asciiTheme="majorEastAsia" w:hAnsiTheme="majorEastAsia" w:eastAsiaTheme="majorEastAsia"/>
                <w:b/>
                <w:bCs/>
                <w:kern w:val="0"/>
                <w:sz w:val="22"/>
                <w:szCs w:val="22"/>
              </w:rPr>
              <w:t>三、稳步推进既有建筑节能改造</w:t>
            </w:r>
          </w:p>
        </w:tc>
      </w:tr>
      <w:tr>
        <w:tblPrEx>
          <w:tblLayout w:type="fixed"/>
          <w:tblCellMar>
            <w:top w:w="0" w:type="dxa"/>
            <w:left w:w="108" w:type="dxa"/>
            <w:bottom w:w="0" w:type="dxa"/>
            <w:right w:w="108" w:type="dxa"/>
          </w:tblCellMar>
        </w:tblPrEx>
        <w:trPr>
          <w:trHeight w:val="597"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26</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完善建筑</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能耗监测系统</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建成全省国家机关办公建筑和大型公共建筑能耗监测平台和数据联网上传。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27</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加强能耗监测数据研究分析，建立统计分析报告制度。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5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28</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制定能耗监测系统和分项计量、传输设备使用和维护管理制度。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29</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积极探索</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既有公共建筑节能改造</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积极探索合同能源管理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30</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力争至2017年三年累计完成500万平方米既有公共建筑节能改造。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64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31</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有序推进</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既有居住建筑节能改造</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结合旧住房综合改造，因地制宜开展既有居住建筑的平改坡、门窗、外遮阳等节能改造。</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32</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到2017年，完成既有居住建筑节能改造400万平方米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b/>
                <w:bCs/>
                <w:kern w:val="0"/>
                <w:sz w:val="22"/>
                <w:szCs w:val="22"/>
              </w:rPr>
            </w:pPr>
            <w:r>
              <w:rPr>
                <w:rFonts w:hint="eastAsia" w:ascii="宋体" w:hAnsi="宋体" w:cs="宋体"/>
                <w:b/>
                <w:bCs/>
                <w:kern w:val="0"/>
                <w:sz w:val="22"/>
                <w:szCs w:val="22"/>
              </w:rPr>
              <w:t>四、加快先进适用技术和产品推广应用</w:t>
            </w:r>
          </w:p>
        </w:tc>
      </w:tr>
      <w:tr>
        <w:tblPrEx>
          <w:tblLayout w:type="fixed"/>
          <w:tblCellMar>
            <w:top w:w="0" w:type="dxa"/>
            <w:left w:w="108" w:type="dxa"/>
            <w:bottom w:w="0" w:type="dxa"/>
            <w:right w:w="108" w:type="dxa"/>
          </w:tblCellMar>
        </w:tblPrEx>
        <w:trPr>
          <w:trHeight w:val="94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33</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加快配套技术研发和推广</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积极开展防火保温隔热与结构一体化外墙系统、被动式节能措施、高效空调、带热回收的新风系统等技术和产品研发</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大力推进BIM技术在工程项目中的应用</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12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35</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推进可再生</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能源建筑应用</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新建公共机构办公建筑、保障性住房、12层以下的居住建筑、建筑面积1万平方米以上的公共建筑项目，应当按《浙江省民用建筑可再生</w:t>
            </w:r>
            <w:r>
              <w:rPr>
                <w:rFonts w:hint="eastAsia" w:cs="宋体" w:asciiTheme="minorEastAsia" w:hAnsiTheme="minorEastAsia" w:eastAsiaTheme="minorEastAsia"/>
                <w:spacing w:val="-6"/>
                <w:kern w:val="0"/>
                <w:sz w:val="22"/>
                <w:szCs w:val="22"/>
              </w:rPr>
              <w:t>能源应用核算标准》利用一种以上的可再生能源。</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54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36</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大力推广</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绿色建材应用</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研究建立绿色建材、设备评价标识制度和目录管理制度，淘汰落后建材、设备。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568"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37</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制订绿色建材评价标准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568"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38</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推进垃圾</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资源化利用</w:t>
            </w: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严格控制废弃混凝土、建筑废弃物排放，推进建筑垃圾减量化和资源化。</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2" w:hRule="atLeast"/>
        </w:trPr>
        <w:tc>
          <w:tcPr>
            <w:tcW w:w="72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39</w:t>
            </w: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研究制定生活垃圾分类收集相关制度，提高生活垃圾处理水平。</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8946"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宋体" w:eastAsia="仿宋_GB2312" w:cs="宋体"/>
                <w:bCs/>
                <w:kern w:val="0"/>
                <w:sz w:val="22"/>
                <w:szCs w:val="22"/>
              </w:rPr>
            </w:pPr>
            <w:r>
              <w:rPr>
                <w:rFonts w:hint="eastAsia" w:ascii="黑体" w:hAnsi="黑体" w:eastAsia="黑体" w:cs="宋体"/>
                <w:b/>
                <w:bCs/>
                <w:kern w:val="0"/>
                <w:sz w:val="22"/>
                <w:szCs w:val="22"/>
              </w:rPr>
              <w:t>五、保障措施</w:t>
            </w:r>
          </w:p>
        </w:tc>
      </w:tr>
      <w:tr>
        <w:tblPrEx>
          <w:tblLayout w:type="fixed"/>
          <w:tblCellMar>
            <w:top w:w="0" w:type="dxa"/>
            <w:left w:w="108" w:type="dxa"/>
            <w:bottom w:w="0" w:type="dxa"/>
            <w:right w:w="108" w:type="dxa"/>
          </w:tblCellMar>
        </w:tblPrEx>
        <w:trPr>
          <w:trHeight w:val="67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40</w:t>
            </w:r>
          </w:p>
        </w:tc>
        <w:tc>
          <w:tcPr>
            <w:tcW w:w="1559" w:type="dxa"/>
            <w:tcBorders>
              <w:top w:val="nil"/>
              <w:left w:val="nil"/>
              <w:bottom w:val="nil"/>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强化目</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标责任</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将绿色建筑发展指标纳入对各市节能减排考核体系考核内容。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41</w:t>
            </w:r>
          </w:p>
        </w:tc>
        <w:tc>
          <w:tcPr>
            <w:tcW w:w="155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加大政策激励</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修订建筑节能专项资金管理办法</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2015年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42</w:t>
            </w: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落实国家关于推进绿色建筑发展优惠政策</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43</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完善法规</w:t>
            </w:r>
            <w:r>
              <w:rPr>
                <w:rFonts w:hint="eastAsia" w:cs="宋体" w:asciiTheme="minorEastAsia" w:hAnsiTheme="minorEastAsia" w:eastAsiaTheme="minorEastAsia"/>
                <w:kern w:val="0"/>
                <w:sz w:val="22"/>
                <w:szCs w:val="22"/>
              </w:rPr>
              <w:br w:type="textWrapping"/>
            </w:r>
            <w:r>
              <w:rPr>
                <w:rFonts w:hint="eastAsia" w:cs="宋体" w:asciiTheme="minorEastAsia" w:hAnsiTheme="minorEastAsia" w:eastAsiaTheme="minorEastAsia"/>
                <w:kern w:val="0"/>
                <w:sz w:val="22"/>
                <w:szCs w:val="22"/>
              </w:rPr>
              <w:t>和标准体系</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完善绿色建筑法规体系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完善绿色建筑标准体系</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54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45</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加强能力建设</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加强绿色建筑、装配式建筑、</w:t>
            </w:r>
            <w:r>
              <w:rPr>
                <w:rFonts w:cs="宋体" w:asciiTheme="minorEastAsia" w:hAnsiTheme="minorEastAsia" w:eastAsiaTheme="minorEastAsia"/>
                <w:kern w:val="0"/>
                <w:sz w:val="22"/>
                <w:szCs w:val="22"/>
              </w:rPr>
              <w:t>BIM</w:t>
            </w:r>
            <w:r>
              <w:rPr>
                <w:rFonts w:hint="eastAsia" w:cs="宋体" w:asciiTheme="minorEastAsia" w:hAnsiTheme="minorEastAsia" w:eastAsiaTheme="minorEastAsia"/>
                <w:kern w:val="0"/>
                <w:sz w:val="22"/>
                <w:szCs w:val="22"/>
              </w:rPr>
              <w:t>技术等基础研究。</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61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46</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建立建设开发、设计、部品生产、施工、物流、科研和咨询服务单位，信息化平台。</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63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47</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加强对建设、设计、施工、监理、物业单位和有关管理部门人员培训。</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60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48</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支持构配件生产企业扩大产能、改造技术、节能减排。</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58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49</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鼓励工业园区引入符合条件的构配件企业，优化构配件生产供应布局。</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2016年</w:t>
            </w:r>
          </w:p>
        </w:tc>
      </w:tr>
      <w:tr>
        <w:tblPrEx>
          <w:tblLayout w:type="fixed"/>
          <w:tblCellMar>
            <w:top w:w="0" w:type="dxa"/>
            <w:left w:w="108" w:type="dxa"/>
            <w:bottom w:w="0" w:type="dxa"/>
            <w:right w:w="108" w:type="dxa"/>
          </w:tblCellMar>
        </w:tblPrEx>
        <w:trPr>
          <w:trHeight w:val="825"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50</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制定相关管理制度，提升合同能源管理服务、</w:t>
            </w:r>
            <w:r>
              <w:rPr>
                <w:rFonts w:hint="eastAsia" w:cs="宋体" w:asciiTheme="minorEastAsia" w:hAnsiTheme="minorEastAsia" w:eastAsiaTheme="minorEastAsia"/>
                <w:spacing w:val="-6"/>
                <w:kern w:val="0"/>
                <w:sz w:val="22"/>
                <w:szCs w:val="22"/>
              </w:rPr>
              <w:t>绿色建筑咨询和检测、建筑能效测评等机构水平。</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111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51</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加强专家队伍建设，加强对建设、设计、施工、监理、物业单位和有关管理部门人员培训，将相关知识列入继续教育培训、执业资格考试重要内容。</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52</w:t>
            </w: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建立培训上岗制度。</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499"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53</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加强宣传教育</w:t>
            </w: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加强国际交流与合作，促进绿色建筑技术发展。</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r>
        <w:tblPrEx>
          <w:tblLayout w:type="fixed"/>
          <w:tblCellMar>
            <w:top w:w="0" w:type="dxa"/>
            <w:left w:w="108" w:type="dxa"/>
            <w:bottom w:w="0" w:type="dxa"/>
            <w:right w:w="108" w:type="dxa"/>
          </w:tblCellMar>
        </w:tblPrEx>
        <w:trPr>
          <w:trHeight w:val="630" w:hRule="atLeast"/>
        </w:trPr>
        <w:tc>
          <w:tcPr>
            <w:tcW w:w="72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54</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eastAsiaTheme="minorEastAsia"/>
                <w:kern w:val="0"/>
                <w:sz w:val="22"/>
                <w:szCs w:val="22"/>
              </w:rPr>
            </w:pPr>
          </w:p>
        </w:tc>
        <w:tc>
          <w:tcPr>
            <w:tcW w:w="5245"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积极宣传绿色建筑法律法规、政策措施、典型案例、先进经验，倡导绿色消费理念。</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kern w:val="0"/>
                <w:sz w:val="22"/>
                <w:szCs w:val="22"/>
              </w:rPr>
            </w:pPr>
            <w:r>
              <w:rPr>
                <w:rFonts w:hint="eastAsia" w:cs="宋体" w:asciiTheme="minorEastAsia" w:hAnsiTheme="minorEastAsia" w:eastAsiaTheme="minorEastAsia"/>
                <w:kern w:val="0"/>
                <w:sz w:val="22"/>
                <w:szCs w:val="22"/>
              </w:rPr>
              <w:t>2017年</w:t>
            </w:r>
          </w:p>
        </w:tc>
      </w:tr>
    </w:tbl>
    <w:p>
      <w:pPr>
        <w:ind w:firstLine="420" w:firstLineChars="200"/>
      </w:pPr>
    </w:p>
    <w:p>
      <w:pPr/>
    </w:p>
    <w:sectPr>
      <w:footerReference r:id="rId3" w:type="default"/>
      <w:pgSz w:w="11906" w:h="16838"/>
      <w:pgMar w:top="2268" w:right="1247" w:bottom="170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楷体_GB2312">
    <w:panose1 w:val="02010609030101010101"/>
    <w:charset w:val="86"/>
    <w:family w:val="swiss"/>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黑体">
    <w:panose1 w:val="0201060003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Arial">
    <w:panose1 w:val="020B0604020202020204"/>
    <w:charset w:val="00"/>
    <w:family w:val="auto"/>
    <w:pitch w:val="default"/>
    <w:sig w:usb0="E0000AFF" w:usb1="00007843" w:usb2="00000001" w:usb3="00000000" w:csb0="400001BF" w:csb1="DF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70893"/>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EDB"/>
    <w:rsid w:val="0026759C"/>
    <w:rsid w:val="0037484C"/>
    <w:rsid w:val="006429B3"/>
    <w:rsid w:val="00876EDB"/>
    <w:rsid w:val="00CD0B3D"/>
    <w:rsid w:val="123D197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unhideWhenUsed/>
    <w:uiPriority w:val="1"/>
  </w:style>
  <w:style w:type="table" w:default="1" w:styleId="4">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5"/>
    <w:unhideWhenUsed/>
    <w:uiPriority w:val="99"/>
    <w:pPr>
      <w:tabs>
        <w:tab w:val="center" w:pos="4153"/>
        <w:tab w:val="right" w:pos="8306"/>
      </w:tabs>
      <w:snapToGrid w:val="0"/>
      <w:jc w:val="left"/>
    </w:pPr>
    <w:rPr>
      <w:sz w:val="18"/>
      <w:szCs w:val="18"/>
    </w:rPr>
  </w:style>
  <w:style w:type="character" w:customStyle="1" w:styleId="5">
    <w:name w:val="页脚 Char"/>
    <w:basedOn w:val="3"/>
    <w:link w:val="2"/>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1327</Words>
  <Characters>7568</Characters>
  <Lines>63</Lines>
  <Paragraphs>17</Paragraphs>
  <TotalTime>0</TotalTime>
  <ScaleCrop>false</ScaleCrop>
  <LinksUpToDate>false</LinksUpToDate>
  <CharactersWithSpaces>8878</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2015-09-11T06:37:00Z</dcterms:created>
  <dc:creator>THINK</dc:creator>
  <cp:lastModifiedBy>apple</cp:lastModifiedBy>
  <dcterms:modified xsi:type="dcterms:W3CDTF">2015-11-29T07:49:41Z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